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Vacuolar Phosphate Transporter1 (VPT1) may transport</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lang w:val="en-US" w:eastAsia="zh-CN"/>
        </w:rPr>
        <w:t xml:space="preserve">sugar in response to soluble sugar status </w:t>
      </w:r>
      <w:r>
        <w:rPr>
          <w:rFonts w:hint="eastAsia" w:ascii="Times New Roman" w:hAnsi="Times New Roman" w:cs="Times New Roman"/>
          <w:b/>
          <w:bCs/>
          <w:sz w:val="24"/>
          <w:szCs w:val="24"/>
          <w:lang w:val="en-US" w:eastAsia="zh-CN"/>
        </w:rPr>
        <w:t>in</w:t>
      </w:r>
      <w:r>
        <w:rPr>
          <w:rFonts w:hint="default" w:ascii="Times New Roman" w:hAnsi="Times New Roman" w:cs="Times New Roman"/>
          <w:b/>
          <w:bCs/>
          <w:sz w:val="24"/>
          <w:szCs w:val="24"/>
          <w:lang w:val="en-US" w:eastAsia="zh-CN"/>
        </w:rPr>
        <w:t xml:space="preserve"> </w:t>
      </w:r>
      <w:r>
        <w:rPr>
          <w:rFonts w:hint="eastAsia" w:ascii="Times New Roman" w:hAnsi="Times New Roman" w:cs="Times New Roman"/>
          <w:b/>
          <w:bCs/>
          <w:sz w:val="24"/>
          <w:szCs w:val="24"/>
          <w:lang w:val="en-US" w:eastAsia="zh-CN"/>
        </w:rPr>
        <w:t>different types</w:t>
      </w:r>
      <w:r>
        <w:rPr>
          <w:rFonts w:hint="default" w:ascii="Times New Roman" w:hAnsi="Times New Roman" w:cs="Times New Roman"/>
          <w:b/>
          <w:bCs/>
          <w:sz w:val="24"/>
          <w:szCs w:val="24"/>
          <w:lang w:val="en-US" w:eastAsia="zh-CN"/>
        </w:rPr>
        <w:t xml:space="preserve"> </w:t>
      </w:r>
      <w:r>
        <w:rPr>
          <w:rFonts w:hint="eastAsia" w:ascii="Times New Roman" w:hAnsi="Times New Roman" w:cs="Times New Roman"/>
          <w:b/>
          <w:bCs/>
          <w:sz w:val="24"/>
          <w:szCs w:val="24"/>
          <w:lang w:val="en-US" w:eastAsia="zh-CN"/>
        </w:rPr>
        <w:t xml:space="preserve">of </w:t>
      </w:r>
      <w:r>
        <w:rPr>
          <w:rFonts w:hint="default" w:ascii="Times New Roman" w:hAnsi="Times New Roman" w:cs="Times New Roman"/>
          <w:b/>
          <w:bCs/>
          <w:sz w:val="24"/>
          <w:szCs w:val="24"/>
          <w:lang w:val="en-US" w:eastAsia="zh-CN"/>
        </w:rPr>
        <w:t>fruits</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b w:val="0"/>
          <w:bCs w:val="0"/>
          <w:sz w:val="20"/>
          <w:szCs w:val="20"/>
          <w:vertAlign w:val="superscript"/>
          <w:lang w:val="en-US" w:eastAsia="zh-CN"/>
        </w:rPr>
      </w:pPr>
      <w:r>
        <w:rPr>
          <w:rFonts w:hint="eastAsia" w:ascii="Times New Roman" w:hAnsi="Times New Roman" w:cs="Times New Roman"/>
          <w:b w:val="0"/>
          <w:bCs w:val="0"/>
          <w:sz w:val="20"/>
          <w:szCs w:val="20"/>
          <w:lang w:val="en-US" w:eastAsia="zh-CN"/>
        </w:rPr>
        <w:t>Yanjun Zhang</w:t>
      </w:r>
      <w:r>
        <w:rPr>
          <w:rFonts w:hint="eastAsia" w:ascii="Times New Roman" w:hAnsi="Times New Roman" w:cs="Times New Roman"/>
          <w:b w:val="0"/>
          <w:bCs w:val="0"/>
          <w:sz w:val="20"/>
          <w:szCs w:val="20"/>
          <w:vertAlign w:val="superscript"/>
          <w:lang w:val="en-US" w:eastAsia="zh-CN"/>
        </w:rPr>
        <w:t>1</w:t>
      </w:r>
      <w:r>
        <w:rPr>
          <w:rFonts w:hint="eastAsia" w:ascii="Times New Roman" w:hAnsi="Times New Roman" w:cs="Times New Roman"/>
          <w:b w:val="0"/>
          <w:bCs w:val="0"/>
          <w:sz w:val="20"/>
          <w:szCs w:val="20"/>
          <w:lang w:val="en-US" w:eastAsia="zh-CN"/>
        </w:rPr>
        <w:t>, Qian Bai</w:t>
      </w:r>
      <w:r>
        <w:rPr>
          <w:rFonts w:hint="eastAsia" w:ascii="Times New Roman" w:hAnsi="Times New Roman" w:cs="Times New Roman"/>
          <w:b w:val="0"/>
          <w:bCs w:val="0"/>
          <w:sz w:val="20"/>
          <w:szCs w:val="20"/>
          <w:vertAlign w:val="superscript"/>
          <w:lang w:val="en-US" w:eastAsia="zh-CN"/>
        </w:rPr>
        <w:t>2</w:t>
      </w:r>
      <w:r>
        <w:rPr>
          <w:rFonts w:hint="eastAsia" w:ascii="Times New Roman" w:hAnsi="Times New Roman" w:cs="Times New Roman"/>
          <w:b w:val="0"/>
          <w:bCs w:val="0"/>
          <w:sz w:val="20"/>
          <w:szCs w:val="20"/>
          <w:lang w:val="en-US" w:eastAsia="zh-CN"/>
        </w:rPr>
        <w:t>, Yuanyue Shen</w:t>
      </w:r>
      <w:r>
        <w:rPr>
          <w:rFonts w:hint="eastAsia" w:ascii="Times New Roman" w:hAnsi="Times New Roman" w:cs="Times New Roman"/>
          <w:b w:val="0"/>
          <w:bCs w:val="0"/>
          <w:sz w:val="20"/>
          <w:szCs w:val="20"/>
          <w:vertAlign w:val="superscript"/>
          <w:lang w:val="en-US" w:eastAsia="zh-CN"/>
        </w:rPr>
        <w:t>1</w:t>
      </w:r>
      <w:r>
        <w:rPr>
          <w:rFonts w:hint="eastAsia" w:ascii="Times New Roman" w:hAnsi="Times New Roman" w:cs="Times New Roman"/>
          <w:b w:val="0"/>
          <w:bCs w:val="0"/>
          <w:sz w:val="20"/>
          <w:szCs w:val="20"/>
          <w:lang w:val="en-US" w:eastAsia="zh-CN"/>
        </w:rPr>
        <w:t>, Yun Huang</w:t>
      </w:r>
      <w:r>
        <w:rPr>
          <w:rFonts w:hint="eastAsia" w:ascii="Times New Roman" w:hAnsi="Times New Roman" w:cs="Times New Roman"/>
          <w:b w:val="0"/>
          <w:bCs w:val="0"/>
          <w:sz w:val="20"/>
          <w:szCs w:val="20"/>
          <w:vertAlign w:val="superscript"/>
          <w:lang w:val="en-US" w:eastAsia="zh-CN"/>
        </w:rPr>
        <w:t>1*</w:t>
      </w:r>
    </w:p>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 xml:space="preserve">1 Beijing Key Laboratory for Agricultural Application and New Technique, College of Plant Science and Technology, Beijing University of Agriculture, Beijing 102206, China </w:t>
      </w:r>
    </w:p>
    <w:p>
      <w:pPr>
        <w:spacing w:line="240" w:lineRule="auto"/>
        <w:jc w:val="left"/>
        <w:rPr>
          <w:rFonts w:hint="eastAsia"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2 Ministry of Education Key Laboratory of Silviculture and Conservation, College of Forestry, Beijing Forestry University, 35 East Qinghua Road, Beijing 100083, China</w:t>
      </w:r>
    </w:p>
    <w:p>
      <w:pPr>
        <w:spacing w:line="240" w:lineRule="auto"/>
        <w:jc w:val="left"/>
        <w:rPr>
          <w:rFonts w:hint="eastAsia" w:ascii="Times New Roman" w:hAnsi="Times New Roman" w:cs="Times New Roman"/>
          <w:b w:val="0"/>
          <w:bCs w:val="0"/>
          <w:sz w:val="20"/>
          <w:szCs w:val="20"/>
          <w:lang w:val="en-US" w:eastAsia="zh-CN"/>
        </w:rPr>
      </w:pPr>
    </w:p>
    <w:p>
      <w:pPr>
        <w:spacing w:line="360" w:lineRule="auto"/>
        <w:jc w:val="left"/>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Abstract</w:t>
      </w:r>
    </w:p>
    <w:p>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Vacuolar Phosphate Transporter1 (VPT1)-mediated phosphate uptake in the vacuoles is essential to plant development and fruit </w:t>
      </w:r>
      <w:r>
        <w:rPr>
          <w:rFonts w:hint="default" w:ascii="Times New Roman" w:hAnsi="Times New Roman" w:cs="Times New Roman"/>
          <w:lang w:val="en-US" w:eastAsia="zh-CN"/>
        </w:rPr>
        <w:t xml:space="preserve">ripening. Interestingly, here we find that the VPT1 may transport sugar in response to soluble sugar status of fruits. </w:t>
      </w:r>
    </w:p>
    <w:p>
      <w:pPr>
        <w:spacing w:line="360" w:lineRule="auto"/>
        <w:ind w:firstLine="210" w:firstLineChars="100"/>
        <w:rPr>
          <w:rFonts w:hint="default" w:ascii="Times New Roman" w:hAnsi="Times New Roman" w:cs="Times New Roman"/>
          <w:lang w:val="en-US" w:eastAsia="zh-CN"/>
        </w:rPr>
      </w:pPr>
      <w:r>
        <w:rPr>
          <w:rFonts w:hint="default" w:ascii="Times New Roman" w:hAnsi="Times New Roman" w:cs="Times New Roman"/>
          <w:lang w:val="en-US" w:eastAsia="zh-CN"/>
        </w:rPr>
        <w:t>The VvVPT1 protein isolated from grape (</w:t>
      </w:r>
      <w:r>
        <w:rPr>
          <w:rFonts w:hint="default" w:ascii="Times New Roman" w:hAnsi="Times New Roman" w:cs="Times New Roman"/>
          <w:i/>
          <w:iCs/>
          <w:lang w:val="en-US" w:eastAsia="zh-CN"/>
        </w:rPr>
        <w:t>Vitis vinifera</w:t>
      </w:r>
      <w:r>
        <w:rPr>
          <w:rFonts w:hint="default" w:ascii="Times New Roman" w:hAnsi="Times New Roman" w:cs="Times New Roman"/>
          <w:lang w:val="en-US" w:eastAsia="zh-CN"/>
        </w:rPr>
        <w:t>) berries was tonoplast-localized and contains</w:t>
      </w:r>
      <w:bookmarkStart w:id="0" w:name="OLE_LINK1"/>
      <w:r>
        <w:rPr>
          <w:rFonts w:hint="default" w:ascii="Times New Roman" w:hAnsi="Times New Roman" w:cs="Times New Roman"/>
          <w:lang w:val="en-US" w:eastAsia="zh-CN"/>
        </w:rPr>
        <w:t xml:space="preserve"> SPX (Syg1/Pho81/XPR1) </w:t>
      </w:r>
      <w:bookmarkEnd w:id="0"/>
      <w:r>
        <w:rPr>
          <w:rFonts w:hint="default" w:ascii="Times New Roman" w:hAnsi="Times New Roman" w:cs="Times New Roman"/>
          <w:lang w:val="en-US" w:eastAsia="zh-CN"/>
        </w:rPr>
        <w:t xml:space="preserve">and </w:t>
      </w:r>
      <w:bookmarkStart w:id="1" w:name="OLE_LINK3"/>
      <w:r>
        <w:rPr>
          <w:rFonts w:hint="default" w:ascii="Times New Roman" w:hAnsi="Times New Roman" w:cs="Times New Roman"/>
          <w:lang w:val="en-US" w:eastAsia="zh-CN"/>
        </w:rPr>
        <w:t>MFS (major facilitator superfamily) domains</w:t>
      </w:r>
      <w:bookmarkEnd w:id="1"/>
      <w:r>
        <w:rPr>
          <w:rFonts w:hint="default" w:ascii="Times New Roman" w:hAnsi="Times New Roman" w:cs="Times New Roman"/>
          <w:lang w:val="en-US" w:eastAsia="zh-CN"/>
        </w:rPr>
        <w:t xml:space="preserve">. Its mRNA expression was significantly increased during fruit ripening and induced by sucrose. Functional analyses based on transient transgenic systems in grape berry showed that VvVPT1 positively regulated berry ripening and significantly affected hexose contents, fruit firmness, and ripening-related gene expression. </w:t>
      </w:r>
    </w:p>
    <w:p>
      <w:pPr>
        <w:spacing w:line="360" w:lineRule="auto"/>
        <w:ind w:firstLine="210" w:firstLineChars="100"/>
        <w:rPr>
          <w:rFonts w:hint="default" w:ascii="Times New Roman" w:hAnsi="Times New Roman" w:cs="Times New Roman"/>
          <w:lang w:val="en-US" w:eastAsia="zh-CN"/>
        </w:rPr>
      </w:pPr>
      <w:r>
        <w:rPr>
          <w:rFonts w:hint="default" w:ascii="Times New Roman" w:hAnsi="Times New Roman" w:cs="Times New Roman"/>
          <w:lang w:val="en-US" w:eastAsia="zh-CN"/>
        </w:rPr>
        <w:t>The VPT1 proteins (</w:t>
      </w:r>
      <w:bookmarkStart w:id="2" w:name="OLE_LINK2"/>
      <w:r>
        <w:rPr>
          <w:rFonts w:hint="eastAsia" w:ascii="Times New Roman" w:hAnsi="Times New Roman" w:cs="Times New Roman"/>
          <w:lang w:val="en-US" w:eastAsia="zh-CN"/>
        </w:rPr>
        <w:t>g</w:t>
      </w:r>
      <w:r>
        <w:rPr>
          <w:rFonts w:hint="default" w:ascii="Times New Roman" w:hAnsi="Times New Roman" w:cs="Times New Roman"/>
          <w:lang w:val="en-US" w:eastAsia="zh-CN"/>
        </w:rPr>
        <w:t>rape VvVPT1, strawberry FaVPT1</w:t>
      </w:r>
      <w:bookmarkEnd w:id="2"/>
      <w:r>
        <w:rPr>
          <w:rFonts w:hint="default" w:ascii="Times New Roman" w:hAnsi="Times New Roman" w:cs="Times New Roman"/>
          <w:lang w:val="en-US" w:eastAsia="zh-CN"/>
        </w:rPr>
        <w:t xml:space="preserve">, and Arabidopsis AtVPT1) all showed low affinity for phosphate verified in yeast system, while they appear different in sugar transport capacity, consistent with fruit sugar status. </w:t>
      </w:r>
      <w:r>
        <w:rPr>
          <w:rFonts w:hint="eastAsia" w:ascii="Times New Roman" w:hAnsi="Times New Roman" w:cs="Times New Roman"/>
          <w:lang w:val="en-US" w:eastAsia="zh-CN"/>
        </w:rPr>
        <w:t>Recently, we found that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the </w:t>
      </w:r>
      <w:r>
        <w:rPr>
          <w:rFonts w:hint="default" w:ascii="Times New Roman" w:hAnsi="Times New Roman" w:cs="Times New Roman"/>
          <w:lang w:val="en-US" w:eastAsia="zh-CN"/>
        </w:rPr>
        <w:t>sugar transport capacity</w:t>
      </w:r>
      <w:r>
        <w:rPr>
          <w:rFonts w:hint="eastAsia" w:ascii="Times New Roman" w:hAnsi="Times New Roman" w:cs="Times New Roman"/>
          <w:lang w:val="en-US" w:eastAsia="zh-CN"/>
        </w:rPr>
        <w:t xml:space="preserve"> of </w:t>
      </w:r>
      <w:r>
        <w:rPr>
          <w:rFonts w:hint="default" w:ascii="Times New Roman" w:hAnsi="Times New Roman" w:cs="Times New Roman"/>
          <w:lang w:val="en-US" w:eastAsia="zh-CN"/>
        </w:rPr>
        <w:t>VvVPT1</w:t>
      </w:r>
      <w:r>
        <w:rPr>
          <w:rFonts w:hint="eastAsia" w:ascii="Times New Roman" w:hAnsi="Times New Roman" w:cs="Times New Roman"/>
          <w:lang w:val="en-US" w:eastAsia="zh-CN"/>
        </w:rPr>
        <w:t xml:space="preserve"> and</w:t>
      </w:r>
      <w:r>
        <w:rPr>
          <w:rFonts w:hint="default" w:ascii="Times New Roman" w:hAnsi="Times New Roman" w:cs="Times New Roman"/>
          <w:lang w:val="en-US" w:eastAsia="zh-CN"/>
        </w:rPr>
        <w:t xml:space="preserve"> FaVPT1</w:t>
      </w:r>
      <w:r>
        <w:rPr>
          <w:rFonts w:hint="eastAsia" w:ascii="Times New Roman" w:hAnsi="Times New Roman" w:cs="Times New Roman"/>
          <w:lang w:val="en-US" w:eastAsia="zh-CN"/>
        </w:rPr>
        <w:t xml:space="preserve"> depended on the </w:t>
      </w:r>
      <w:r>
        <w:rPr>
          <w:rFonts w:hint="default" w:ascii="Times New Roman" w:hAnsi="Times New Roman" w:cs="Times New Roman"/>
          <w:lang w:val="en-US" w:eastAsia="zh-CN"/>
        </w:rPr>
        <w:t xml:space="preserve">SPX </w:t>
      </w:r>
      <w:r>
        <w:rPr>
          <w:rFonts w:hint="eastAsia" w:ascii="Times New Roman" w:hAnsi="Times New Roman" w:cs="Times New Roman"/>
          <w:lang w:val="en-US" w:eastAsia="zh-CN"/>
        </w:rPr>
        <w:t>domain and Glu 522</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in </w:t>
      </w:r>
      <w:r>
        <w:rPr>
          <w:rFonts w:hint="default" w:ascii="Times New Roman" w:hAnsi="Times New Roman" w:cs="Times New Roman"/>
          <w:lang w:val="en-US" w:eastAsia="zh-CN"/>
        </w:rPr>
        <w:t>MFS domain</w:t>
      </w:r>
      <w:r>
        <w:rPr>
          <w:rFonts w:hint="eastAsia" w:ascii="Times New Roman" w:hAnsi="Times New Roman" w:cs="Times New Roman"/>
          <w:lang w:val="en-US" w:eastAsia="zh-CN"/>
        </w:rPr>
        <w:t>.</w:t>
      </w:r>
    </w:p>
    <w:p>
      <w:pPr>
        <w:spacing w:line="360" w:lineRule="auto"/>
        <w:ind w:firstLine="210" w:firstLineChars="100"/>
        <w:rPr>
          <w:rFonts w:hint="default" w:ascii="Times New Roman" w:hAnsi="Times New Roman" w:cs="Times New Roman"/>
        </w:rPr>
      </w:pPr>
      <w:r>
        <w:rPr>
          <w:rFonts w:hint="default" w:ascii="Times New Roman" w:hAnsi="Times New Roman" w:cs="Times New Roman"/>
          <w:lang w:val="en-US" w:eastAsia="zh-CN"/>
        </w:rPr>
        <w:t xml:space="preserve">Thus, our findings reveal a role for VPT1 in fruit ripening, associated to its SPX and MFS </w:t>
      </w:r>
    </w:p>
    <w:p>
      <w:pPr>
        <w:spacing w:line="360" w:lineRule="auto"/>
        <w:rPr>
          <w:rFonts w:hint="default" w:ascii="Times New Roman" w:hAnsi="Times New Roman" w:cs="Times New Roman"/>
        </w:rPr>
      </w:pPr>
      <w:r>
        <w:rPr>
          <w:rFonts w:hint="default" w:ascii="Times New Roman" w:hAnsi="Times New Roman" w:cs="Times New Roman"/>
          <w:lang w:val="en-US" w:eastAsia="zh-CN"/>
        </w:rPr>
        <w:t>domains in direct transport of soluble sugar available into the vacuole, and open potential avenues for genetic improvement in fleshy fruit.</w:t>
      </w:r>
      <w:bookmarkStart w:id="3" w:name="_GoBack"/>
      <w:bookmarkEnd w:id="3"/>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eciliaLTStd-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eciliaLTStd-Italic">
    <w:altName w:val="Segoe Print"/>
    <w:panose1 w:val="00000000000000000000"/>
    <w:charset w:val="00"/>
    <w:family w:val="auto"/>
    <w:pitch w:val="default"/>
    <w:sig w:usb0="00000000" w:usb1="00000000" w:usb2="00000000" w:usb3="00000000" w:csb0="00000000" w:csb1="00000000"/>
  </w:font>
  <w:font w:name="CaeciliaLTStd-Bold">
    <w:altName w:val="Segoe Print"/>
    <w:panose1 w:val="00000000000000000000"/>
    <w:charset w:val="00"/>
    <w:family w:val="auto"/>
    <w:pitch w:val="default"/>
    <w:sig w:usb0="00000000" w:usb1="00000000" w:usb2="00000000" w:usb3="00000000" w:csb0="00000000" w:csb1="00000000"/>
  </w:font>
  <w:font w:name="CaeciliaLTStd-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MTM3YmQyYTRjMTZkZWYwZWI2OWYwYzhiNjNiZTgifQ=="/>
  </w:docVars>
  <w:rsids>
    <w:rsidRoot w:val="363862BB"/>
    <w:rsid w:val="3638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2023-09-07T01:12:00Z</dcterms:created>
  <dc:creator>kk</dc:creator>
  <cp:lastModifiedBy>kk</cp:lastModifiedBy>
  <dcterms:modified xsi:type="dcterms:W3CDTF">2023-09-07T01:44:24Z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3A5A6430B3B74185946F4C18938E4961_11</vt:lpwstr>
  </property>
</Properties>
</file>